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DA38B7" w:rsidP="00DA38B7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DA38B7">
        <w:rPr>
          <w:rFonts w:ascii="Arial" w:eastAsia="黑体" w:hAnsi="Arial" w:cs="Arial" w:hint="eastAsia"/>
          <w:b/>
          <w:color w:val="1F497D"/>
          <w:sz w:val="44"/>
          <w:szCs w:val="21"/>
        </w:rPr>
        <w:t>现代仓库管理与高效物料配送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9822F5">
              <w:rPr>
                <w:rFonts w:ascii="Arial" w:hAnsi="Arial" w:cs="Arial" w:hint="eastAsia"/>
                <w:szCs w:val="21"/>
              </w:rPr>
              <w:t>1</w:t>
            </w:r>
            <w:r w:rsidR="003E21B1"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3E21B1">
              <w:rPr>
                <w:rFonts w:ascii="Arial" w:hAnsi="Arial" w:cs="Arial" w:hint="eastAsia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-</w:t>
            </w:r>
            <w:r w:rsidR="009822F5">
              <w:rPr>
                <w:rFonts w:ascii="Arial" w:hAnsi="Arial" w:cs="Arial" w:hint="eastAsia"/>
                <w:szCs w:val="21"/>
              </w:rPr>
              <w:t>2</w:t>
            </w:r>
            <w:r w:rsidR="003E21B1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3F6703">
              <w:rPr>
                <w:rFonts w:ascii="Arial" w:hAnsi="Arial" w:cs="Arial" w:hint="eastAsia"/>
                <w:szCs w:val="21"/>
              </w:rPr>
              <w:t>济南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A38B7" w:rsidRPr="00DA38B7">
              <w:rPr>
                <w:rFonts w:ascii="Arial" w:hAnsi="Arial" w:cs="Arial" w:hint="eastAsia"/>
                <w:szCs w:val="21"/>
              </w:rPr>
              <w:t>柯杨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A38B7">
              <w:rPr>
                <w:rFonts w:ascii="Arial" w:hAnsi="Arial" w:cs="Arial" w:hint="eastAsia"/>
                <w:szCs w:val="21"/>
              </w:rPr>
              <w:t>480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ascii="Arial" w:hAnsi="Arial" w:cs="Arial" w:hint="eastAsia"/>
                <w:szCs w:val="21"/>
              </w:rPr>
              <w:t>元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A38B7" w:rsidRPr="00DA38B7">
              <w:rPr>
                <w:rFonts w:ascii="Arial" w:hAnsi="Arial" w:cs="Arial" w:hint="eastAsia"/>
                <w:szCs w:val="21"/>
              </w:rPr>
              <w:t>物料计划员，物料筹措人员，仓库经理，仓储一线人员，班组长等相关岗位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A38B7" w:rsidRPr="00AE75CC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DA38B7" w:rsidRPr="00AE75CC">
                <w:rPr>
                  <w:rStyle w:val="a6"/>
                  <w:rFonts w:ascii="Arial" w:hAnsi="Arial" w:cs="Arial" w:hint="eastAsia"/>
                  <w:szCs w:val="21"/>
                </w:rPr>
                <w:t>34</w:t>
              </w:r>
              <w:r w:rsidR="00DA38B7" w:rsidRPr="00AE75CC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【课程背景】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张瑞敏说：物流表面上流动的是物，实际上流动的是钱。那么你的仓库“流动”起来了吗？通过两天课程学习使得学员能够查找仓库管理过程中的断点，规范物料出入库等活动的流程，实现仓库运营效率的最大化，提升高效的物料管理能力。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企账物不符，物料计划不能获得准确数据；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货架上堆积大量物料，库容紧张；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收货区问题物料多，不知道如何处理；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保管不周，在库物料质量不良，不知道如何改善；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仓库现场乱，物料信息不及时，关联部门时常抱怨。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本课程讲师具有多行业制造、物流业仓库项目的推行经验，理论结合现场实际痛点，通过讨论或案例等形式来解决作业难点，让学员站在全面物料流动的角度，掌握改善仓库管理的方法。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【课程收益】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通过学习，使学员能够：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掌握仓储、物流的全面规划；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掌握仓储物流的规范的进、出、存日常作业方法，建立高效的仓库作业流程方法；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规范供应商交货的方法，以及发现问题及时反馈给相关部门，做好信息传递步骤；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学习呆滞物料的处置方法；</w:t>
      </w:r>
    </w:p>
    <w:p w:rsidR="00DA38B7" w:rsidRDefault="00DA38B7" w:rsidP="00DA38B7">
      <w:pPr>
        <w:spacing w:after="0"/>
      </w:pPr>
      <w:r>
        <w:t xml:space="preserve"> </w:t>
      </w:r>
      <w:r>
        <w:rPr>
          <w:rFonts w:hint="eastAsia"/>
        </w:rPr>
        <w:t>在仓库管理中降低库存，以达到降低生产成本的目的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【课程大纲】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第一讲</w:t>
      </w:r>
      <w:r>
        <w:rPr>
          <w:rFonts w:hint="eastAsia"/>
        </w:rPr>
        <w:t xml:space="preserve"> </w:t>
      </w:r>
      <w:r>
        <w:rPr>
          <w:rFonts w:hint="eastAsia"/>
        </w:rPr>
        <w:t>仓库管理——仓库管理和库存解读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现代快速的制造业物流发展形式下对仓储管理的要求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仓库管理在供应链中工作的重要性：为何称之为核心节点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供应链中，</w:t>
      </w:r>
      <w:r>
        <w:rPr>
          <w:rFonts w:hint="eastAsia"/>
        </w:rPr>
        <w:t>PC/MC</w:t>
      </w:r>
      <w:r>
        <w:rPr>
          <w:rFonts w:hint="eastAsia"/>
        </w:rPr>
        <w:t>、仓库、采购等部门在物料供应中的职责和</w:t>
      </w:r>
      <w:r>
        <w:rPr>
          <w:rFonts w:hint="eastAsia"/>
        </w:rPr>
        <w:t>KPI</w:t>
      </w:r>
      <w:r>
        <w:rPr>
          <w:rFonts w:hint="eastAsia"/>
        </w:rPr>
        <w:t>，以及仓储作业同</w:t>
      </w:r>
      <w:r>
        <w:rPr>
          <w:rFonts w:hint="eastAsia"/>
        </w:rPr>
        <w:t>PMC</w:t>
      </w:r>
      <w:r>
        <w:rPr>
          <w:rFonts w:hint="eastAsia"/>
        </w:rPr>
        <w:t>的协作和流程衔接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良好仓库的管理标准都有哪些要求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物料管理的八大工作目标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lastRenderedPageBreak/>
        <w:t>第二讲</w:t>
      </w:r>
      <w:r>
        <w:rPr>
          <w:rFonts w:hint="eastAsia"/>
        </w:rPr>
        <w:t xml:space="preserve"> </w:t>
      </w:r>
      <w:r>
        <w:rPr>
          <w:rFonts w:hint="eastAsia"/>
        </w:rPr>
        <w:t>企业仓库规划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仓库的规划应满足五项基本要求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仓位规划要因分析图、规划原则以及物料分区图例分析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在</w:t>
      </w:r>
      <w:r>
        <w:rPr>
          <w:rFonts w:hint="eastAsia"/>
        </w:rPr>
        <w:t>ERP</w:t>
      </w:r>
      <w:r>
        <w:rPr>
          <w:rFonts w:hint="eastAsia"/>
        </w:rPr>
        <w:t>系统管理环境下，货位合理规划与编号的方法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如何进行仓库储存能力改善，提高库位利用率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根据可追溯性与目视化管理的要求进行物料的标识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仓储设施种类，应用特点以及日常管理及注意事项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第三讲</w:t>
      </w:r>
      <w:r>
        <w:rPr>
          <w:rFonts w:hint="eastAsia"/>
        </w:rPr>
        <w:t xml:space="preserve"> </w:t>
      </w:r>
      <w:r>
        <w:rPr>
          <w:rFonts w:hint="eastAsia"/>
        </w:rPr>
        <w:t>仓储入库环节对库存的影响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仓库入库作业实务</w:t>
      </w:r>
      <w:r>
        <w:rPr>
          <w:rFonts w:hint="eastAsia"/>
        </w:rPr>
        <w:t>:</w:t>
      </w:r>
      <w:r>
        <w:rPr>
          <w:rFonts w:hint="eastAsia"/>
        </w:rPr>
        <w:t>高效收货作业的业务逻辑和细节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入库前应做好的工作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如何发挥仓储部门把关作用？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确保物料快速收货的五大步骤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物料验收有哪些基本方法和要求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物料入库交接普遍面临的问题及其解决途径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如何杜绝“问题物料”得不到及时处理的问题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如何办理入库手续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第四讲</w:t>
      </w:r>
      <w:r>
        <w:rPr>
          <w:rFonts w:hint="eastAsia"/>
        </w:rPr>
        <w:t xml:space="preserve"> </w:t>
      </w:r>
      <w:r>
        <w:rPr>
          <w:rFonts w:hint="eastAsia"/>
        </w:rPr>
        <w:t>仓库货物的在库保养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仓库货物存放三原则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货物堆码的六项基本原则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有效期材料的库存批次管理有效方法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如何能把化工品先进先出做的更到位？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仓储</w:t>
      </w:r>
      <w:r>
        <w:rPr>
          <w:rFonts w:hint="eastAsia"/>
        </w:rPr>
        <w:t>5S</w:t>
      </w:r>
      <w:r>
        <w:rPr>
          <w:rFonts w:hint="eastAsia"/>
        </w:rPr>
        <w:t>管理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仓库的目视化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仓库的消防与安全管理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第五讲</w:t>
      </w:r>
      <w:r>
        <w:rPr>
          <w:rFonts w:hint="eastAsia"/>
        </w:rPr>
        <w:t xml:space="preserve"> </w:t>
      </w:r>
      <w:r>
        <w:rPr>
          <w:rFonts w:hint="eastAsia"/>
        </w:rPr>
        <w:t>做好发货管理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不同性质的库房物料出库方式不同，出库适用范围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出库规范流程，出库操作的基本要求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出库与物料配送的细节步骤和</w:t>
      </w:r>
      <w:r>
        <w:rPr>
          <w:rFonts w:hint="eastAsia"/>
        </w:rPr>
        <w:t>335</w:t>
      </w:r>
      <w:r>
        <w:rPr>
          <w:rFonts w:hint="eastAsia"/>
        </w:rPr>
        <w:t>原则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物料出库配送中的容器要求和标识要求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退料与补料的规范操作：退料物品的合理处理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非正常领料之处理：借料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基于生产线需求模式的仓库管理策略：线边</w:t>
      </w:r>
      <w:r>
        <w:rPr>
          <w:rFonts w:hint="eastAsia"/>
        </w:rPr>
        <w:t xml:space="preserve">/ JIT / </w:t>
      </w:r>
      <w:r>
        <w:rPr>
          <w:rFonts w:hint="eastAsia"/>
        </w:rPr>
        <w:t>半成品现场物流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第六讲</w:t>
      </w:r>
      <w:r>
        <w:rPr>
          <w:rFonts w:hint="eastAsia"/>
        </w:rPr>
        <w:t xml:space="preserve"> </w:t>
      </w:r>
      <w:r>
        <w:rPr>
          <w:rFonts w:hint="eastAsia"/>
        </w:rPr>
        <w:t>盘点工作的组织和盘点结果分析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物料的分类管理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盘点作业流程及说明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盘点常见问题汇总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盘点后问题分析、盈亏的原因、预防与处理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5. </w:t>
      </w:r>
      <w:r>
        <w:rPr>
          <w:rFonts w:hint="eastAsia"/>
        </w:rPr>
        <w:t>仓库呆废物料的产生原因分析，防范措施和处理方法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第七讲</w:t>
      </w:r>
      <w:r>
        <w:rPr>
          <w:rFonts w:hint="eastAsia"/>
        </w:rPr>
        <w:t xml:space="preserve"> </w:t>
      </w:r>
      <w:r>
        <w:rPr>
          <w:rFonts w:hint="eastAsia"/>
        </w:rPr>
        <w:t>课程感悟与分析</w:t>
      </w:r>
    </w:p>
    <w:p w:rsidR="00DA38B7" w:rsidRDefault="00DA38B7" w:rsidP="00DA38B7">
      <w:pPr>
        <w:spacing w:after="0"/>
      </w:pP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培训讲师：柯杨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资深讲师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华东理工特邀实战型讲师</w:t>
      </w:r>
    </w:p>
    <w:p w:rsidR="00DA38B7" w:rsidRDefault="00DA38B7" w:rsidP="00DA38B7">
      <w:pPr>
        <w:spacing w:after="0"/>
      </w:pPr>
      <w:r>
        <w:t> 15</w:t>
      </w:r>
      <w:r>
        <w:rPr>
          <w:rFonts w:hint="eastAsia"/>
        </w:rPr>
        <w:t>年世界</w:t>
      </w:r>
      <w:r>
        <w:t>500</w:t>
      </w:r>
      <w:r>
        <w:rPr>
          <w:rFonts w:hint="eastAsia"/>
        </w:rPr>
        <w:t>强外企中高层管理实践经验</w:t>
      </w:r>
    </w:p>
    <w:p w:rsidR="00DA38B7" w:rsidRDefault="00DA38B7" w:rsidP="00DA38B7">
      <w:pPr>
        <w:spacing w:after="0"/>
      </w:pPr>
      <w:r>
        <w:t> 10</w:t>
      </w:r>
      <w:r>
        <w:rPr>
          <w:rFonts w:hint="eastAsia"/>
        </w:rPr>
        <w:t>年以上精益生产、供应链项目推行实施经验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曾就职于汽车、轨道交通</w:t>
      </w:r>
      <w:r>
        <w:t xml:space="preserve"> </w:t>
      </w:r>
      <w:r>
        <w:rPr>
          <w:rFonts w:hint="eastAsia"/>
        </w:rPr>
        <w:t>、国际贸易等行业，历任大型企业生产经理，物资供应经理，采购经理等职，曾赴韩国研修</w:t>
      </w:r>
      <w:r>
        <w:t>JIT</w:t>
      </w:r>
      <w:r>
        <w:rPr>
          <w:rFonts w:hint="eastAsia"/>
        </w:rPr>
        <w:t>精益生产模式，具有丰富的生产、采购和物料管理经验，熟悉整个供应链的流程和实际操作，对供应链管理有着深刻的认识和理解。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专长领域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供应链管理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柔性生产计划与排程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采购、供应商管理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精益生产理念与实施导入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库存与仓库管理</w:t>
      </w:r>
    </w:p>
    <w:p w:rsidR="00DA38B7" w:rsidRDefault="00DA38B7" w:rsidP="00DA38B7">
      <w:pPr>
        <w:spacing w:after="0"/>
      </w:pPr>
      <w:r>
        <w:t xml:space="preserve"> </w:t>
      </w:r>
      <w:r>
        <w:rPr>
          <w:rFonts w:hint="eastAsia"/>
        </w:rPr>
        <w:t>一线班组长和车间主任管理</w:t>
      </w:r>
    </w:p>
    <w:p w:rsidR="00DA38B7" w:rsidRDefault="00DA38B7" w:rsidP="00DA38B7">
      <w:pPr>
        <w:spacing w:after="0"/>
      </w:pPr>
      <w:r>
        <w:t> 5S</w:t>
      </w:r>
      <w:r>
        <w:rPr>
          <w:rFonts w:hint="eastAsia"/>
        </w:rPr>
        <w:t>目视化与现场持续改善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授课风格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实战派讲师，精通</w:t>
      </w:r>
      <w:r>
        <w:rPr>
          <w:rFonts w:hint="eastAsia"/>
        </w:rPr>
        <w:t>ERP</w:t>
      </w:r>
      <w:r>
        <w:rPr>
          <w:rFonts w:hint="eastAsia"/>
        </w:rPr>
        <w:t>，熟识生产，采购、计划、物料和库存控制系统。结合自身丰富的实践经历，教授大量的方法和工具，主张学员提出实际问题并加以引导，注重落地实操性，倡导学以致用。针对性的协助企业进行流程优化和导入，咨询式的培训带动学员参与，启发学员思考，给学员以震动性反应和实际的收获。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服务企业（部分）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机械机电：山推集团、中车研究所、中车株洲机电、三一重载、海信日立、凌云集团、西门子信号，金明精机、长虹模塑、、中集来福士钻井平台、苏泊尔、金明精机、龙口港集团、意大利戴博泵业、齐耀瓦锡兰菱重工船泊柴油机等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汽车交通：上汽、广汽研究院、长安汽车、通用五菱汽车、大众汽车、大连一汽发动机、陕西重汽、延锋伟世通、大陆汽车、安波福、东风德纳、科德宝、敏实、北汽新能源、河南西峡内燃机、四方庞巴迪、株洲机车、京车装备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等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食品医药：中烟青岛烟厂、上海烟草机械、贵州烟草、天津烟厂、云南烟草实业、汾酒集团、河套酒业、百事可乐、云南白药、如新集团、镇江醋业、通威集团、临沂金锣等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化工流程：太原煤气化集团、神华宁煤、中核核电运行，金风科技，银川宝丰能源、广西华银铝业、巴斯夫、建安化工、天津石化、圣戈班（广汉）陶粒、江苏井神盐化、辽宁科隆精细化工、陕西北元化工集团、皇明热水器、协鑫光伏、尚德光伏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lastRenderedPageBreak/>
        <w:t>等</w:t>
      </w:r>
    </w:p>
    <w:p w:rsidR="00DA38B7" w:rsidRDefault="00DA38B7" w:rsidP="00DA38B7">
      <w:pPr>
        <w:spacing w:after="0"/>
        <w:rPr>
          <w:rFonts w:hint="eastAsia"/>
        </w:rPr>
      </w:pPr>
      <w:r>
        <w:rPr>
          <w:rFonts w:hint="eastAsia"/>
        </w:rPr>
        <w:t>其他制造：京东方、湄公河集团、海康威视、四川集成科技、重庆建设集团、广西登高集团、贺州电力，成都自来水、吉林移动、怡瑞丰服饰、双虎家私、全友家具、、维达纸业、宝鸡宝光集团</w:t>
      </w:r>
    </w:p>
    <w:p w:rsidR="004358AB" w:rsidRDefault="00DA38B7" w:rsidP="00DA38B7">
      <w:pPr>
        <w:spacing w:after="0"/>
      </w:pPr>
      <w:r>
        <w:rPr>
          <w:rFonts w:hint="eastAsia"/>
        </w:rPr>
        <w:t>欧派集团培训：广东清远公司、成都公司、无锡公司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89" w:rsidRDefault="00610189" w:rsidP="00037618">
      <w:pPr>
        <w:spacing w:after="0"/>
      </w:pPr>
      <w:r>
        <w:separator/>
      </w:r>
    </w:p>
  </w:endnote>
  <w:endnote w:type="continuationSeparator" w:id="0">
    <w:p w:rsidR="00610189" w:rsidRDefault="00610189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89" w:rsidRDefault="00610189" w:rsidP="00037618">
      <w:pPr>
        <w:spacing w:after="0"/>
      </w:pPr>
      <w:r>
        <w:separator/>
      </w:r>
    </w:p>
  </w:footnote>
  <w:footnote w:type="continuationSeparator" w:id="0">
    <w:p w:rsidR="00610189" w:rsidRDefault="00610189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78B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26133"/>
    <w:rsid w:val="004358AB"/>
    <w:rsid w:val="00453761"/>
    <w:rsid w:val="00471639"/>
    <w:rsid w:val="004D6D22"/>
    <w:rsid w:val="004D6EA4"/>
    <w:rsid w:val="004E4372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B5EFF"/>
    <w:rsid w:val="008B7726"/>
    <w:rsid w:val="009438DF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B07676"/>
    <w:rsid w:val="00B243E3"/>
    <w:rsid w:val="00B71B62"/>
    <w:rsid w:val="00B71C18"/>
    <w:rsid w:val="00B77AB0"/>
    <w:rsid w:val="00BC0C5A"/>
    <w:rsid w:val="00C12358"/>
    <w:rsid w:val="00C21F73"/>
    <w:rsid w:val="00C8321A"/>
    <w:rsid w:val="00C87C8F"/>
    <w:rsid w:val="00CB0BE0"/>
    <w:rsid w:val="00D12C1B"/>
    <w:rsid w:val="00D26C58"/>
    <w:rsid w:val="00D31D50"/>
    <w:rsid w:val="00D6216E"/>
    <w:rsid w:val="00DA38B7"/>
    <w:rsid w:val="00DC4512"/>
    <w:rsid w:val="00DE24BF"/>
    <w:rsid w:val="00DF00FC"/>
    <w:rsid w:val="00E158E5"/>
    <w:rsid w:val="00E66630"/>
    <w:rsid w:val="00E71390"/>
    <w:rsid w:val="00E734E9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3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0C413-C5B4-476E-82AD-B23AC71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78</cp:revision>
  <dcterms:created xsi:type="dcterms:W3CDTF">2008-09-11T17:20:00Z</dcterms:created>
  <dcterms:modified xsi:type="dcterms:W3CDTF">2024-03-14T03:16:00Z</dcterms:modified>
</cp:coreProperties>
</file>