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3B02D5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3B02D5">
        <w:rPr>
          <w:rFonts w:ascii="Arial" w:eastAsia="黑体" w:hAnsi="Arial" w:cs="Arial" w:hint="eastAsia"/>
          <w:b/>
          <w:color w:val="1F497D"/>
          <w:sz w:val="44"/>
          <w:szCs w:val="44"/>
        </w:rPr>
        <w:t>EHS</w:t>
      </w:r>
      <w:r w:rsidRPr="003B02D5">
        <w:rPr>
          <w:rFonts w:ascii="Arial" w:eastAsia="黑体" w:hAnsi="Arial" w:cs="Arial" w:hint="eastAsia"/>
          <w:b/>
          <w:color w:val="1F497D"/>
          <w:sz w:val="44"/>
          <w:szCs w:val="44"/>
        </w:rPr>
        <w:t>专业能力提高班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4937A5" w:rsidRPr="003B02D5" w:rsidRDefault="004937A5" w:rsidP="004937A5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3B02D5">
              <w:rPr>
                <w:rFonts w:hint="eastAsia"/>
              </w:rPr>
              <w:t>2024</w:t>
            </w:r>
            <w:r w:rsidR="003B02D5">
              <w:rPr>
                <w:rFonts w:hint="eastAsia"/>
              </w:rPr>
              <w:t>年</w:t>
            </w:r>
            <w:r w:rsidR="003B02D5">
              <w:rPr>
                <w:rFonts w:hint="eastAsia"/>
              </w:rPr>
              <w:t>6</w:t>
            </w:r>
            <w:r w:rsidR="003B02D5">
              <w:rPr>
                <w:rFonts w:hint="eastAsia"/>
              </w:rPr>
              <w:t>月</w:t>
            </w:r>
            <w:r w:rsidR="003B02D5">
              <w:rPr>
                <w:rFonts w:hint="eastAsia"/>
              </w:rPr>
              <w:t>4-5</w:t>
            </w:r>
            <w:r w:rsidR="003B02D5">
              <w:rPr>
                <w:rFonts w:hint="eastAsia"/>
              </w:rPr>
              <w:t>日（周二三）上海</w:t>
            </w:r>
          </w:p>
          <w:p w:rsidR="004937A5" w:rsidRDefault="004937A5" w:rsidP="004937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3B02D5">
              <w:rPr>
                <w:rFonts w:hint="eastAsia"/>
              </w:rPr>
              <w:t>吴晓启</w:t>
            </w:r>
          </w:p>
          <w:p w:rsidR="004937A5" w:rsidRDefault="004937A5" w:rsidP="004937A5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790E42">
              <w:rPr>
                <w:rFonts w:hint="eastAsia"/>
              </w:rPr>
              <w:t>4</w:t>
            </w:r>
            <w:r w:rsidR="009817DF">
              <w:rPr>
                <w:rFonts w:hint="eastAsia"/>
              </w:rPr>
              <w:t>000/</w:t>
            </w:r>
            <w:r w:rsidR="009817DF">
              <w:rPr>
                <w:rFonts w:hint="eastAsia"/>
              </w:rPr>
              <w:t>人（含授课费、证书费、资料费、午餐费、茶点费、会务费、税费）</w:t>
            </w:r>
          </w:p>
          <w:p w:rsidR="00790E42" w:rsidRDefault="004937A5" w:rsidP="003B02D5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B02D5">
              <w:rPr>
                <w:rFonts w:hint="eastAsia"/>
              </w:rPr>
              <w:t>企业的</w:t>
            </w:r>
            <w:r w:rsidR="003B02D5">
              <w:rPr>
                <w:rFonts w:hint="eastAsia"/>
              </w:rPr>
              <w:t>EHS</w:t>
            </w:r>
            <w:r w:rsidR="003B02D5">
              <w:rPr>
                <w:rFonts w:hint="eastAsia"/>
              </w:rPr>
              <w:t>管理人员和项目负责人员；厂务部的维修部的经理、主管工程师</w:t>
            </w:r>
          </w:p>
          <w:p w:rsidR="004937A5" w:rsidRDefault="004937A5" w:rsidP="004937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4937A5" w:rsidRPr="00CC33BA" w:rsidRDefault="004937A5" w:rsidP="004937A5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3B02D5" w:rsidRPr="00CE6D00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3B02D5" w:rsidRPr="00CE6D00">
                <w:rPr>
                  <w:rStyle w:val="a6"/>
                  <w:rFonts w:ascii="Arial" w:hAnsi="Arial" w:cs="Arial" w:hint="eastAsia"/>
                  <w:szCs w:val="21"/>
                </w:rPr>
                <w:t>208.</w:t>
              </w:r>
              <w:r w:rsidR="003B02D5" w:rsidRPr="00CE6D00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3B02D5" w:rsidRDefault="003B02D5" w:rsidP="003B02D5">
      <w:pPr>
        <w:spacing w:after="0"/>
        <w:rPr>
          <w:rFonts w:hint="eastAsia"/>
        </w:rPr>
      </w:pP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EHS</w:t>
      </w:r>
      <w:r>
        <w:rPr>
          <w:rFonts w:hint="eastAsia"/>
        </w:rPr>
        <w:t>相关专业方面的能力提升：机械安全</w:t>
      </w:r>
      <w:r>
        <w:rPr>
          <w:rFonts w:hint="eastAsia"/>
        </w:rPr>
        <w:t>/</w:t>
      </w:r>
      <w:r>
        <w:rPr>
          <w:rFonts w:hint="eastAsia"/>
        </w:rPr>
        <w:t>电气安全</w:t>
      </w:r>
      <w:r>
        <w:rPr>
          <w:rFonts w:hint="eastAsia"/>
        </w:rPr>
        <w:t>/</w:t>
      </w:r>
      <w:r>
        <w:rPr>
          <w:rFonts w:hint="eastAsia"/>
        </w:rPr>
        <w:t>上锁挂牌</w:t>
      </w:r>
      <w:r>
        <w:rPr>
          <w:rFonts w:hint="eastAsia"/>
        </w:rPr>
        <w:t>/</w:t>
      </w:r>
      <w:r>
        <w:rPr>
          <w:rFonts w:hint="eastAsia"/>
        </w:rPr>
        <w:t>承包商管理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企业的</w:t>
      </w:r>
      <w:r>
        <w:rPr>
          <w:rFonts w:hint="eastAsia"/>
        </w:rPr>
        <w:t>EHS</w:t>
      </w:r>
      <w:r>
        <w:rPr>
          <w:rFonts w:hint="eastAsia"/>
        </w:rPr>
        <w:t>管理人员和项目负责人员；厂务部的维修部的经理、主管工程师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课程系统化、内容简单而有效、深入简出、引人入胜、注重实际操作、突出实战性、理顺思维并系统化传授最新，不仅使学员们很好的融入，同时感受到轻松愉快的课堂气氛，更能使学员们真正学到所需的知识！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一、机械安全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机器安全的危害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设备防护罩的完好是谁责任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常见于设备有关事故的原因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设备</w:t>
      </w:r>
      <w:r>
        <w:rPr>
          <w:rFonts w:hint="eastAsia"/>
        </w:rPr>
        <w:t>/</w:t>
      </w:r>
      <w:r>
        <w:rPr>
          <w:rFonts w:hint="eastAsia"/>
        </w:rPr>
        <w:t>机械危险发生的地方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发生危险的操作操作点举例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发生危险的活动部件举例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发生危险的卷入点举例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练习：哪些地方应该有防护罩？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设备防护罩应该关注的</w:t>
      </w:r>
      <w:r>
        <w:rPr>
          <w:rFonts w:hint="eastAsia"/>
        </w:rPr>
        <w:t>5</w:t>
      </w:r>
      <w:r>
        <w:rPr>
          <w:rFonts w:hint="eastAsia"/>
        </w:rPr>
        <w:t>个点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设备防护罩的一般要求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固定防护罩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连锁防护罩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可调防护罩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自动调节防护罩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ab/>
      </w:r>
      <w:r>
        <w:rPr>
          <w:rFonts w:hint="eastAsia"/>
        </w:rPr>
        <w:t>安全装置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ab/>
      </w:r>
      <w:r>
        <w:rPr>
          <w:rFonts w:hint="eastAsia"/>
        </w:rPr>
        <w:t>防护门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ab/>
      </w:r>
      <w:r>
        <w:rPr>
          <w:rFonts w:hint="eastAsia"/>
        </w:rPr>
        <w:t>手持工具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ab/>
      </w:r>
      <w:r>
        <w:rPr>
          <w:rFonts w:hint="eastAsia"/>
        </w:rPr>
        <w:t>防护罩整改举例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lastRenderedPageBreak/>
        <w:t>19.</w:t>
      </w:r>
      <w:r>
        <w:rPr>
          <w:rFonts w:hint="eastAsia"/>
        </w:rPr>
        <w:tab/>
      </w:r>
      <w:r>
        <w:rPr>
          <w:rFonts w:hint="eastAsia"/>
        </w:rPr>
        <w:t>防护罩培训目标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二、电气安全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为什么电流对人体有伤害</w:t>
      </w:r>
      <w:r>
        <w:rPr>
          <w:rFonts w:hint="eastAsia"/>
        </w:rPr>
        <w:t>?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电流对人体有哪些伤害</w:t>
      </w:r>
      <w:r>
        <w:rPr>
          <w:rFonts w:hint="eastAsia"/>
        </w:rPr>
        <w:t>?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法律法规对电气安全的要求？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用电安全警示标识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用电危险评估范围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接近边界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电流经过人体可能的路径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电击防护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电弧危害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电弧烧伤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电弧爆炸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防电</w:t>
      </w:r>
      <w:r>
        <w:rPr>
          <w:rFonts w:hint="eastAsia"/>
        </w:rPr>
        <w:t>PPE</w:t>
      </w:r>
      <w:r>
        <w:rPr>
          <w:rFonts w:hint="eastAsia"/>
        </w:rPr>
        <w:t>的选择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防电个人防护装备的维护保养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三、上锁挂牌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为什么要执行</w:t>
      </w:r>
      <w:r>
        <w:rPr>
          <w:rFonts w:hint="eastAsia"/>
        </w:rPr>
        <w:t>LOTO</w:t>
      </w:r>
      <w:r>
        <w:rPr>
          <w:rFonts w:hint="eastAsia"/>
        </w:rPr>
        <w:t>程序</w:t>
      </w:r>
      <w:r>
        <w:rPr>
          <w:rFonts w:hint="eastAsia"/>
        </w:rPr>
        <w:t xml:space="preserve">? 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外部事故教训</w:t>
      </w:r>
      <w:r>
        <w:rPr>
          <w:rFonts w:hint="eastAsia"/>
        </w:rPr>
        <w:t xml:space="preserve"> 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内部事故介绍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法律法规要求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什么是上锁挂牌程序</w:t>
      </w:r>
      <w:r>
        <w:rPr>
          <w:rFonts w:hint="eastAsia"/>
        </w:rPr>
        <w:t xml:space="preserve">? 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什么是上锁挂牌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上锁挂牌相关定义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危险能源及能源隔离装置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上锁挂牌程序标牌及标签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上锁挂牌装置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谁来执行上锁挂牌程序</w:t>
      </w:r>
      <w:r>
        <w:rPr>
          <w:rFonts w:hint="eastAsia"/>
        </w:rPr>
        <w:t xml:space="preserve">? 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影响人员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人员职责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何时何地执行上锁挂牌</w:t>
      </w:r>
      <w:r>
        <w:rPr>
          <w:rFonts w:hint="eastAsia"/>
        </w:rPr>
        <w:t xml:space="preserve">? 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ab/>
      </w:r>
      <w:r>
        <w:rPr>
          <w:rFonts w:hint="eastAsia"/>
        </w:rPr>
        <w:t>如何进行上锁挂牌</w:t>
      </w:r>
      <w:r>
        <w:rPr>
          <w:rFonts w:hint="eastAsia"/>
        </w:rPr>
        <w:t xml:space="preserve">? 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ab/>
      </w:r>
      <w:r>
        <w:rPr>
          <w:rFonts w:hint="eastAsia"/>
        </w:rPr>
        <w:t>上锁挂牌操作的</w:t>
      </w:r>
      <w:r>
        <w:rPr>
          <w:rFonts w:hint="eastAsia"/>
        </w:rPr>
        <w:t>9</w:t>
      </w:r>
      <w:r>
        <w:rPr>
          <w:rFonts w:hint="eastAsia"/>
        </w:rPr>
        <w:t>大步骤</w:t>
      </w:r>
      <w:r>
        <w:rPr>
          <w:rFonts w:hint="eastAsia"/>
        </w:rPr>
        <w:t xml:space="preserve"> 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ab/>
      </w:r>
      <w:r>
        <w:rPr>
          <w:rFonts w:hint="eastAsia"/>
        </w:rPr>
        <w:t>特殊情况的处理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ab/>
      </w:r>
      <w:r>
        <w:rPr>
          <w:rFonts w:hint="eastAsia"/>
        </w:rPr>
        <w:t>总结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>LOTO</w:t>
      </w:r>
      <w:r>
        <w:rPr>
          <w:rFonts w:hint="eastAsia"/>
        </w:rPr>
        <w:t>与设备防护的关系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四、大数据下的承包商安全管理的重要性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五、承包商的安全管理模式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制定承包商管理规则：基本管理规定、处罚制度、应急预案等</w:t>
      </w:r>
    </w:p>
    <w:p w:rsidR="003B02D5" w:rsidRDefault="003B02D5" w:rsidP="003B02D5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课堂讨论：承包商</w:t>
      </w:r>
      <w:r>
        <w:t xml:space="preserve"> </w:t>
      </w:r>
      <w:r>
        <w:rPr>
          <w:rFonts w:hint="eastAsia"/>
        </w:rPr>
        <w:t>管理规定的关键问题点有哪些？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承包商安全管理的组织结构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六、选择合格的承包商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承包商资质的认定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承包商工作现场的评估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风险评估、作业安全分析及施工安全方案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课堂讨论：承包商选择过程中，安全管理人员的权重及决策权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七、合同的准备及安全合同约束要求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八、现场安全管理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承包商安全培训与认证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项目实施现场的监督管理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定期项目安全会议</w:t>
      </w:r>
      <w:r>
        <w:rPr>
          <w:rFonts w:hint="eastAsia"/>
        </w:rPr>
        <w:t xml:space="preserve"> 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高风险作业安全管理要点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项目实施现场的审核与检查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应急响应、事故报告及调查处理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环境管理及消防管理要点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九、承包商安全评审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承包商安全绩效评估工具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承包商安全绩效评估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合格供应商及人员清单体系建议及维护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十、引导式培训及研讨：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承包商安全管理的难点、痛点及应对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点评、汇总交流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十一、课程的概述与总结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讲师介绍：吴晓启老师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世界</w:t>
      </w:r>
      <w:r>
        <w:rPr>
          <w:rFonts w:hint="eastAsia"/>
        </w:rPr>
        <w:t>500</w:t>
      </w:r>
      <w:r>
        <w:rPr>
          <w:rFonts w:hint="eastAsia"/>
        </w:rPr>
        <w:t>强欧、美企业</w:t>
      </w:r>
      <w:r>
        <w:rPr>
          <w:rFonts w:hint="eastAsia"/>
        </w:rPr>
        <w:t>EHS</w:t>
      </w:r>
      <w:r>
        <w:rPr>
          <w:rFonts w:hint="eastAsia"/>
        </w:rPr>
        <w:t>部及厂务部资深经理、</w:t>
      </w:r>
      <w:r>
        <w:rPr>
          <w:rFonts w:hint="eastAsia"/>
        </w:rPr>
        <w:t>EHS</w:t>
      </w:r>
      <w:r>
        <w:rPr>
          <w:rFonts w:hint="eastAsia"/>
        </w:rPr>
        <w:t>管理专家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环境工程学士学位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安全工程硕士学位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十三年以上美、德、英、法等世界</w:t>
      </w:r>
      <w:r>
        <w:rPr>
          <w:rFonts w:hint="eastAsia"/>
        </w:rPr>
        <w:t>500</w:t>
      </w:r>
      <w:r>
        <w:rPr>
          <w:rFonts w:hint="eastAsia"/>
        </w:rPr>
        <w:t>强欧美</w:t>
      </w:r>
      <w:r>
        <w:rPr>
          <w:rFonts w:hint="eastAsia"/>
        </w:rPr>
        <w:t>EHS</w:t>
      </w:r>
      <w:r>
        <w:rPr>
          <w:rFonts w:hint="eastAsia"/>
        </w:rPr>
        <w:t>管理工作经验；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八年以上厂务设备、设施管理工作经验；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资深</w:t>
      </w:r>
      <w:r>
        <w:rPr>
          <w:rFonts w:hint="eastAsia"/>
        </w:rPr>
        <w:t>EHS</w:t>
      </w:r>
      <w:r>
        <w:rPr>
          <w:rFonts w:hint="eastAsia"/>
        </w:rPr>
        <w:t>管理体系培训师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精益生产资深讲师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国家注册安全工程师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8. CCAA</w:t>
      </w:r>
      <w:r>
        <w:rPr>
          <w:rFonts w:hint="eastAsia"/>
        </w:rPr>
        <w:t>注册</w:t>
      </w:r>
      <w:r>
        <w:rPr>
          <w:rFonts w:hint="eastAsia"/>
        </w:rPr>
        <w:t>OHSAS18001</w:t>
      </w:r>
      <w:r>
        <w:rPr>
          <w:rFonts w:hint="eastAsia"/>
        </w:rPr>
        <w:t>审核员证书。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苏州市工业园区安全生产管理资格证书培训特约讲师。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客户评价：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平均培训满意度</w:t>
      </w:r>
      <w:r>
        <w:rPr>
          <w:rFonts w:hint="eastAsia"/>
        </w:rPr>
        <w:t>97%</w:t>
      </w:r>
      <w:r>
        <w:rPr>
          <w:rFonts w:hint="eastAsia"/>
        </w:rPr>
        <w:t>以上，学员们全神投入，给了我们全新的对于安全管理的理解。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lastRenderedPageBreak/>
        <w:t>——</w:t>
      </w:r>
      <w:r>
        <w:rPr>
          <w:rFonts w:hint="eastAsia"/>
        </w:rPr>
        <w:t xml:space="preserve"> LG</w:t>
      </w:r>
      <w:r>
        <w:rPr>
          <w:rFonts w:hint="eastAsia"/>
        </w:rPr>
        <w:t>电子（昆山）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所提到的案例极具代表性，对工作中存在的一些问题有指导作用。</w:t>
      </w:r>
      <w:r>
        <w:rPr>
          <w:rFonts w:hint="eastAsia"/>
        </w:rPr>
        <w:t xml:space="preserve"> 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——普派包装（苏州）</w:t>
      </w:r>
    </w:p>
    <w:p w:rsidR="003B02D5" w:rsidRDefault="003B02D5" w:rsidP="003B02D5">
      <w:pPr>
        <w:spacing w:after="0"/>
        <w:rPr>
          <w:rFonts w:hint="eastAsia"/>
        </w:rPr>
      </w:pPr>
      <w:r>
        <w:rPr>
          <w:rFonts w:hint="eastAsia"/>
        </w:rPr>
        <w:t>经典客户：</w:t>
      </w:r>
    </w:p>
    <w:p w:rsidR="00E47F3B" w:rsidRDefault="003B02D5" w:rsidP="003B02D5">
      <w:pPr>
        <w:spacing w:after="0"/>
      </w:pPr>
      <w:r>
        <w:rPr>
          <w:rFonts w:hint="eastAsia"/>
        </w:rPr>
        <w:t>西门子医疗、富尔美纺织、普派包装、</w:t>
      </w:r>
      <w:r>
        <w:rPr>
          <w:rFonts w:hint="eastAsia"/>
        </w:rPr>
        <w:t>LG</w:t>
      </w:r>
      <w:r>
        <w:rPr>
          <w:rFonts w:hint="eastAsia"/>
        </w:rPr>
        <w:t>电子、丹纳赫、波尔威、沃得重工、艾默生、江山制药、太钢集团、维苏威等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62" w:rsidRDefault="006E7D62" w:rsidP="00037618">
      <w:pPr>
        <w:spacing w:after="0"/>
      </w:pPr>
      <w:r>
        <w:separator/>
      </w:r>
    </w:p>
  </w:endnote>
  <w:endnote w:type="continuationSeparator" w:id="0">
    <w:p w:rsidR="006E7D62" w:rsidRDefault="006E7D62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62" w:rsidRDefault="006E7D62" w:rsidP="00037618">
      <w:pPr>
        <w:spacing w:after="0"/>
      </w:pPr>
      <w:r>
        <w:separator/>
      </w:r>
    </w:p>
  </w:footnote>
  <w:footnote w:type="continuationSeparator" w:id="0">
    <w:p w:rsidR="006E7D62" w:rsidRDefault="006E7D62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5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6F6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FD9"/>
    <w:rsid w:val="00205744"/>
    <w:rsid w:val="00205FA3"/>
    <w:rsid w:val="00210170"/>
    <w:rsid w:val="00212879"/>
    <w:rsid w:val="0022180F"/>
    <w:rsid w:val="00222BC6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CAA"/>
    <w:rsid w:val="00257D21"/>
    <w:rsid w:val="00271E45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1255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02D5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37A5"/>
    <w:rsid w:val="004952FB"/>
    <w:rsid w:val="00496829"/>
    <w:rsid w:val="004B2FA2"/>
    <w:rsid w:val="004B307C"/>
    <w:rsid w:val="004B5A54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32F5D"/>
    <w:rsid w:val="00537448"/>
    <w:rsid w:val="005437C7"/>
    <w:rsid w:val="0055489C"/>
    <w:rsid w:val="00555AFA"/>
    <w:rsid w:val="00557466"/>
    <w:rsid w:val="0056176A"/>
    <w:rsid w:val="00564D14"/>
    <w:rsid w:val="005752B5"/>
    <w:rsid w:val="005753E6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080C"/>
    <w:rsid w:val="00654F6B"/>
    <w:rsid w:val="00665FCE"/>
    <w:rsid w:val="0066678D"/>
    <w:rsid w:val="00673B77"/>
    <w:rsid w:val="00674CD1"/>
    <w:rsid w:val="00683AB0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E7D62"/>
    <w:rsid w:val="006F1CF5"/>
    <w:rsid w:val="006F4E9F"/>
    <w:rsid w:val="0070436D"/>
    <w:rsid w:val="00706DA5"/>
    <w:rsid w:val="00707C62"/>
    <w:rsid w:val="007177A5"/>
    <w:rsid w:val="007206A8"/>
    <w:rsid w:val="00721239"/>
    <w:rsid w:val="00723800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0E4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3E97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D4C83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17DF"/>
    <w:rsid w:val="009822F5"/>
    <w:rsid w:val="00984DED"/>
    <w:rsid w:val="00985A90"/>
    <w:rsid w:val="00986CCD"/>
    <w:rsid w:val="0099177D"/>
    <w:rsid w:val="009918DB"/>
    <w:rsid w:val="00992E53"/>
    <w:rsid w:val="00995053"/>
    <w:rsid w:val="00995D01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49FB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2FC"/>
    <w:rsid w:val="00B37713"/>
    <w:rsid w:val="00B44BC2"/>
    <w:rsid w:val="00B55BFA"/>
    <w:rsid w:val="00B60C26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20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86A150-6AA9-46DF-8F21-683FB9C5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297</cp:revision>
  <dcterms:created xsi:type="dcterms:W3CDTF">2008-09-11T17:20:00Z</dcterms:created>
  <dcterms:modified xsi:type="dcterms:W3CDTF">2024-07-24T09:51:00Z</dcterms:modified>
</cp:coreProperties>
</file>